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5124450</wp:posOffset>
            </wp:positionH>
            <wp:positionV relativeFrom="paragraph">
              <wp:posOffset>99695</wp:posOffset>
            </wp:positionV>
            <wp:extent cx="904875" cy="8096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-123823</wp:posOffset>
            </wp:positionH>
            <wp:positionV relativeFrom="paragraph">
              <wp:posOffset>109220</wp:posOffset>
            </wp:positionV>
            <wp:extent cx="904875" cy="8096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NORTH BAY LEAGUE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BOYS OAK DIVISION </w:t>
      </w:r>
      <w:r w:rsidDel="00000000" w:rsidR="00000000" w:rsidRPr="00000000">
        <w:rPr>
          <w:b w:val="1"/>
          <w:rtl w:val="0"/>
        </w:rPr>
        <w:t xml:space="preserve">TENNIS </w:t>
      </w:r>
      <w:r w:rsidDel="00000000" w:rsidR="00000000" w:rsidRPr="00000000">
        <w:rPr>
          <w:b w:val="1"/>
          <w:vertAlign w:val="baseline"/>
          <w:rtl w:val="0"/>
        </w:rPr>
        <w:t xml:space="preserve">ALL-LEAGUE,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3"/>
        <w:gridCol w:w="2878"/>
        <w:gridCol w:w="982"/>
        <w:gridCol w:w="2843"/>
        <w:tblGridChange w:id="0">
          <w:tblGrid>
            <w:gridCol w:w="2873"/>
            <w:gridCol w:w="287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PLAYER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Jonathan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Doughtie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TEAM, SINGLES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Negri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Aiden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Buerger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SECOND TEAM, SINGLES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Manfredi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Marcotte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Jackson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Ukiah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Walsh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Akira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TEAM, DOUBLES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shd w:fill="9cc2e5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Jackson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Brydan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Aguirre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Buerger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Matthew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Maria Carrilllo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3"/>
        <w:gridCol w:w="2878"/>
        <w:gridCol w:w="982"/>
        <w:gridCol w:w="2843"/>
        <w:tblGridChange w:id="0">
          <w:tblGrid>
            <w:gridCol w:w="2873"/>
            <w:gridCol w:w="287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RtdhzVaDK6TfEFlN8K/UmtqfUA==">AMUW2mWEaJkZTzXgkedaKyiV/iUYdp2U5MVOM4Q3HtaFeKcejo5kDsJExgInFA8/0l9Ou3mt1AuuEypz16HFv0PfSTVf+Y8CSfU8jeMCiuGAhxcI7d8qtKs=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2022-04-28T21:44:00Z</dcterms:created>
  <dc:creator>Don &amp; Jan Billing</dc:creator>
</cp:coreProperties>
</file>