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5405120</wp:posOffset>
            </wp:positionH>
            <wp:positionV relativeFrom="paragraph">
              <wp:posOffset>-57149</wp:posOffset>
            </wp:positionV>
            <wp:extent cx="1233805" cy="12668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0</wp:posOffset>
            </wp:positionV>
            <wp:extent cx="1247775" cy="121539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5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Boys’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12757</wp:posOffset>
            </wp:positionV>
            <wp:extent cx="638175" cy="8096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61595</wp:posOffset>
            </wp:positionV>
            <wp:extent cx="638175" cy="8096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vertAlign w:val="baseline"/>
          <w:rtl w:val="0"/>
        </w:rPr>
        <w:t xml:space="preserve">Revised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vertAlign w:val="baselin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16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vertAlign w:val="baseline"/>
          <w:rtl w:val="0"/>
        </w:rPr>
        <w:t xml:space="preserve">/2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-108.0" w:type="dxa"/>
        <w:tblLayout w:type="fixed"/>
        <w:tblLook w:val="0000"/>
      </w:tblPr>
      <w:tblGrid>
        <w:gridCol w:w="625"/>
        <w:gridCol w:w="3803"/>
        <w:gridCol w:w="540"/>
        <w:gridCol w:w="333"/>
        <w:gridCol w:w="567"/>
        <w:gridCol w:w="4428"/>
        <w:tblGridChange w:id="0">
          <w:tblGrid>
            <w:gridCol w:w="625"/>
            <w:gridCol w:w="3803"/>
            <w:gridCol w:w="540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November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JANUARY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at 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at 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St. Vincent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Healdsburg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St. Vincent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Cot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SATURDAY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 at 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St. Vincent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ealdsburg</w:t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rPr>
          <w:rFonts w:ascii="Century Gothic" w:cs="Century Gothic" w:eastAsia="Century Gothic" w:hAnsi="Century Gothic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Post-season NBL tournament semi-finals: Wednesday, February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(Site of highest seed)</w:t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Post-season NBL tournament finals:  February 9 &amp;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Final date for leagues to determine qualifiers: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Final date for competition other than NCS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, 10 PM</w:t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NCS At-large and seeding meeting: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Division 1-3-5 first round games: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Division 2-4-6 first round games: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Open Division first round games: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Division 1-3-5 quarterfinal round games: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Division 2-4-6 quarterfinal round games:  February 1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Division 1-3-5 semifinal games:  February 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Open Division, Division 2-4-6 semifinal games: February 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Open Division, Division 1-6 NCS Championship games:  February 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- 2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Northern California Championships:  Feb. 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7, 28, 29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March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CIF State Championship:  March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080" w:right="108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zepHvnTcS3I6R1baC9LOG2sjYA==">AMUW2mXNwGN678HJsl2LJkBCnXAx0osPcl6HWP1OoO9bNU402I+0zaD/uj1dSyGBcb8pCFHSaRvq38ex1Fxl+7XziFYdkvuzifL3S1PNGCouU62B3nQJwiI=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2022-02-25T02:52:00Z</dcterms:created>
  <dc:creator>mhsvikingcoach@sbcglobal.net</dc:creator>
</cp:coreProperties>
</file>