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-128902</wp:posOffset>
            </wp:positionH>
            <wp:positionV relativeFrom="paragraph">
              <wp:posOffset>236220</wp:posOffset>
            </wp:positionV>
            <wp:extent cx="1257300" cy="128587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5067300</wp:posOffset>
            </wp:positionH>
            <wp:positionV relativeFrom="paragraph">
              <wp:posOffset>183515</wp:posOffset>
            </wp:positionV>
            <wp:extent cx="1247775" cy="127635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809625</wp:posOffset>
            </wp:positionH>
            <wp:positionV relativeFrom="paragraph">
              <wp:posOffset>102235</wp:posOffset>
            </wp:positionV>
            <wp:extent cx="956945" cy="978535"/>
            <wp:effectExtent b="0" l="0" r="0" t="0"/>
            <wp:wrapNone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78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4538345</wp:posOffset>
            </wp:positionH>
            <wp:positionV relativeFrom="paragraph">
              <wp:posOffset>175895</wp:posOffset>
            </wp:positionV>
            <wp:extent cx="838200" cy="857250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Boys’ Soccer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entury Gothic" w:cs="Century Gothic" w:eastAsia="Century Gothic" w:hAnsi="Century Gothic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Revised 3/9/24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left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Monday,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November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24 matches. Two (2) scrimmages are permissible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before the season's first interscholastic contest (league or non-league)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/all-league selection mtg.: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JV: 5 PM, Varsity: 7 PM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Piner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Analy at Elsie Allen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at Healdsburg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bye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Santa Rosa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bye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FEBRUARY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Piner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WEDNESDAY,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FRIDAY,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Anay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Elsie Allen Bye</w:t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vertAlign w:val="baselin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Final date for leagues to determine qualifiers:  February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Deadline for competition other than NCS or CIF Championships: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NCS postseason applications due (automatic and at-large):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(10 PM)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At–large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&amp; meeting: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NCS Championships:  February 1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26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28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March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CIF Nor-Cal Championships: 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March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6,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5iId+4uO/p/bFc0Y/Rwpb1Pig==">CgMxLjA4AHIhMW5DR2VZQm00cWU2TmNjQS14QXl4VXVBRC1Fc05Zcldh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2022-02-25T04:04:00Z</dcterms:created>
  <dc:creator>mhsvikingcoach@sbcglobal.net</dc:creator>
</cp:coreProperties>
</file>